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drawing>
          <wp:inline distT="0" distB="0" distL="0" distR="0">
            <wp:extent cx="1524000" cy="1524000"/>
            <wp:effectExtent t="0" r="0" b="0" l="0"/>
            <wp:docPr id="1" name="logo" descr="Unicorn IT Group logo" title="Unicorn IT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Baloo 2" w:cs="Baloo 2" w:eastAsia="Baloo 2" w:hAnsi="Baloo 2"/>
          <w:b/>
          <w:bCs/>
          <w:color w:val="5B2E91"/>
          <w:sz w:val="32"/>
          <w:szCs w:val="32"/>
        </w:rPr>
        <w:t xml:space="preserve">Unicorn IT Group</w:t>
      </w:r>
    </w:p>
    <w:p>
      <w:pPr>
        <w:spacing w:after="400"/>
        <w:jc w:val="center"/>
      </w:pPr>
      <w:r>
        <w:rPr>
          <w:rFonts w:ascii="Nunito Sans" w:cs="Nunito Sans" w:eastAsia="Nunito Sans" w:hAnsi="Nunito Sans"/>
          <w:color w:val="6B5B7D"/>
          <w:sz w:val="22"/>
          <w:szCs w:val="22"/>
        </w:rPr>
        <w:t xml:space="preserve">Servicing businesses all over Australia</w:t>
      </w:r>
    </w:p>
    <w:p>
      <w:pPr>
        <w:spacing w:after="120" w:before="400"/>
        <w:jc w:val="center"/>
      </w:pPr>
      <w:r>
        <w:rPr>
          <w:rFonts w:ascii="Baloo 2" w:cs="Baloo 2" w:eastAsia="Baloo 2" w:hAnsi="Baloo 2"/>
          <w:b/>
          <w:bCs/>
          <w:color w:val="5B2E91"/>
          <w:sz w:val="56"/>
          <w:szCs w:val="56"/>
        </w:rPr>
        <w:t xml:space="preserve">Managed IT Services</w:t>
      </w:r>
    </w:p>
    <w:p>
      <w:pPr>
        <w:spacing w:after="400"/>
        <w:jc w:val="center"/>
      </w:pPr>
      <w:r>
        <w:rPr>
          <w:rFonts w:ascii="Nunito Sans" w:cs="Nunito Sans" w:eastAsia="Nunito Sans" w:hAnsi="Nunito Sans"/>
          <w:color w:val="2D1B4E"/>
          <w:sz w:val="30"/>
          <w:szCs w:val="30"/>
        </w:rPr>
        <w:t xml:space="preserve">One provider, one invoice, no surprises</w:t>
      </w:r>
    </w:p>
    <w:p>
      <w:pPr>
        <w:spacing w:after="120" w:before="200"/>
        <w:jc w:val="center"/>
      </w:pPr>
      <w:r>
        <w:rPr>
          <w:rFonts w:ascii="Nunito Sans" w:cs="Nunito Sans" w:eastAsia="Nunito Sans" w:hAnsi="Nunito Sans"/>
          <w:color w:val="2D1B4E"/>
          <w:sz w:val="24"/>
          <w:szCs w:val="24"/>
        </w:rPr>
        <w:t xml:space="preserve">Call </w:t>
      </w:r>
      <w:hyperlink w:history="1" r:id="rIdo-moczlxpb35jxyjpmmdk">
        <w:r>
          <w:rPr>
            <w:rStyle w:val="Hyperlink"/>
            <w:b/>
            <w:bCs/>
            <w:sz w:val="24"/>
            <w:szCs w:val="24"/>
          </w:rPr>
          <w:t xml:space="preserve">1300 904 635</w:t>
        </w:r>
      </w:hyperlink>
    </w:p>
    <w:p>
      <w:pPr>
        <w:spacing w:after="80"/>
        <w:jc w:val="center"/>
      </w:pPr>
      <w:hyperlink w:history="1" r:id="rIdakzgtatfwyz8doicnocgl">
        <w:r>
          <w:rPr>
            <w:rStyle w:val="Hyperlink"/>
            <w:sz w:val="22"/>
            <w:szCs w:val="22"/>
          </w:rPr>
          <w:t xml:space="preserve">hello@uitg.com.au</w:t>
        </w:r>
      </w:hyperlink>
    </w:p>
    <w:p>
      <w:pPr>
        <w:spacing w:after="80"/>
        <w:jc w:val="center"/>
      </w:pPr>
      <w:r>
        <w:rPr>
          <w:rFonts w:ascii="Nunito Sans" w:cs="Nunito Sans" w:eastAsia="Nunito Sans" w:hAnsi="Nunito Sans"/>
          <w:color w:val="6B5B7D"/>
          <w:sz w:val="22"/>
          <w:szCs w:val="22"/>
        </w:rPr>
        <w:t xml:space="preserve">unicornitgroup.com</w:t>
      </w:r>
    </w:p>
    <w:p>
      <w:pPr>
        <w:spacing w:before="300"/>
        <w:jc w:val="center"/>
      </w:pPr>
      <w:r>
        <w:rPr>
          <w:rFonts w:ascii="Nunito Sans" w:cs="Nunito Sans" w:eastAsia="Nunito Sans" w:hAnsi="Nunito Sans"/>
          <w:b/>
          <w:bCs/>
          <w:color w:val="5B2E91"/>
          <w:sz w:val="20"/>
          <w:szCs w:val="20"/>
        </w:rPr>
        <w:t xml:space="preserve">Office</w:t>
      </w:r>
    </w:p>
    <w:p>
      <w:pPr>
        <w:jc w:val="center"/>
      </w:pPr>
      <w:r>
        <w:rPr>
          <w:rFonts w:ascii="Nunito Sans" w:cs="Nunito Sans" w:eastAsia="Nunito Sans" w:hAnsi="Nunito Sans"/>
          <w:color w:val="2D1B4E"/>
          <w:sz w:val="20"/>
          <w:szCs w:val="20"/>
        </w:rPr>
        <w:t xml:space="preserve">Suite 122, 8 Collingwood St, Osborne Park, WA, 6017</w:t>
      </w:r>
    </w:p>
    <w:p>
      <w:pPr>
        <w:pageBreakBefore/>
      </w:pPr>
      <w:r>
        <w:rPr>
          <w:sz w:val="1"/>
          <w:szCs w:val="1"/>
        </w:rPr>
        <w:t xml:space="preserve"/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What you get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Our Managed Services package wraps your entire technology environment into a single engagement. We look after your devices, Microsoft 365 tenancy, security posture, backups and help-desk support so you can focus on running your business instead of chasing IT vendors.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Whether you are a small team without an internal IT resource or a growing business that needs a reliable partner, we scale the service to fit. Every engagement starts with a baseline audit and ends with a clear roadmap, monthly reporting and a local engineer who knows your name.</w:t>
      </w:r>
    </w:p>
    <w:p>
      <w:pPr>
        <w:pStyle w:val="Heading2"/>
        <w:spacing w:after="100" w:before="200"/>
      </w:pPr>
      <w:r>
        <w:rPr>
          <w:rFonts w:ascii="Baloo 2" w:cs="Baloo 2" w:eastAsia="Baloo 2" w:hAnsi="Baloo 2"/>
          <w:b/>
          <w:bCs/>
          <w:color w:val="2D1B4E"/>
          <w:sz w:val="28"/>
          <w:szCs w:val="28"/>
        </w:rPr>
        <w:t xml:space="preserve">Core inclusions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Fully Managed IT Support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Unlimited remote and on-site support for every device, printer and person in your office. We become your IT department.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Microsoft 365 Management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Tenant administration, licence optimisation, Exchange, Teams, SharePoint and OneDrive structure — kept secure and up to date.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Security &amp; Endpoint Protection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Essential Eight aligned hardening, multi-factor authentication, endpoint detection and email filtering.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Office 365 Backup &amp; Recovery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Immutable, off-site backup of Exchange, OneDrive and SharePoint data with fast recovery when you need it.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Proactive Monitoring &amp; Patching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24/7 monitoring, patch management and health checks so issues are caught before your team notices them.</w:t>
      </w:r>
    </w:p>
    <w:p>
      <w:pPr>
        <w:pageBreakBefore/>
      </w:pPr>
      <w:r>
        <w:rPr>
          <w:sz w:val="1"/>
          <w:szCs w:val="1"/>
        </w:rPr>
        <w:t xml:space="preserve"/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Included with every plan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These services are built into every Managed Services engagement — so your business is protected from day one.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Code Two email signature manager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Centrally managed, branded Microsoft 365 email signatures and disclaimers applied consistently to every message, including email sent from phones.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Australian-based support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Local engineers who understand your business, available during Australian business hours.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Monthly reporting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Clear monthly reports on tickets, patching, security events and the health of your environment.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Dedicated account engineer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A consistent point of contact who knows your environment and can escalate when needed.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Baseline audit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We document your current setup, risks and priorities before work begins so nothing is missed.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Technology roadmap — </w:t>
      </w: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A practical plan that aligns your IT spending with your business goals over the next 12–24 months.</w:t>
      </w:r>
    </w:p>
    <w:p>
      <w:pPr>
        <w:pStyle w:val="Heading2"/>
        <w:spacing w:after="100" w:before="200"/>
      </w:pPr>
      <w:r>
        <w:rPr>
          <w:rFonts w:ascii="Baloo 2" w:cs="Baloo 2" w:eastAsia="Baloo 2" w:hAnsi="Baloo 2"/>
          <w:b/>
          <w:bCs/>
          <w:color w:val="2D1B4E"/>
          <w:sz w:val="28"/>
          <w:szCs w:val="28"/>
        </w:rPr>
        <w:t xml:space="preserve">Huntress MDR is standard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Every Managed Services engagement includes Huntress Managed Detection and Response. That means 24/7/365 SOC monitoring of your servers, workstations and Microsoft 365 environment.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Endpoint and server MDR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Office 365 identity and mailbox monitoring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Ransomware and human-led threat hunting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Fast isolation and incident response</w:t>
      </w:r>
    </w:p>
    <w:p>
      <w:pPr>
        <w:pageBreakBefore/>
      </w:pPr>
      <w:r>
        <w:rPr>
          <w:sz w:val="1"/>
          <w:szCs w:val="1"/>
        </w:rPr>
        <w:t xml:space="preserve"/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Choose the right tier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Three predictable tiers designed for different business sizes and risk profiles. All plans include Australian-based support and our core security foundation.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800"/>
        <w:gridCol w:w="1800"/>
        <w:gridCol w:w="1800"/>
      </w:tblGrid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What is 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Baloo 2" w:cs="Baloo 2" w:eastAsia="Baloo 2" w:hAnsi="Baloo 2"/>
                <w:b/>
                <w:bCs/>
                <w:color w:val="5B2E91"/>
                <w:sz w:val="22"/>
                <w:szCs w:val="22"/>
              </w:rPr>
              <w:t xml:space="preserve">Basic</w:t>
            </w:r>
          </w:p>
          <w:p>
            <w:pPr>
              <w:jc w:val="center"/>
            </w:pPr>
            <w:r>
              <w:rPr>
                <w:rFonts w:ascii="Nunito Sans" w:cs="Nunito Sans" w:eastAsia="Nunito Sans" w:hAnsi="Nunito Sans"/>
                <w:color w:val="6B5B7D"/>
                <w:sz w:val="18"/>
                <w:szCs w:val="18"/>
              </w:rPr>
              <w:t xml:space="preserve">Essential cover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Baloo 2" w:cs="Baloo 2" w:eastAsia="Baloo 2" w:hAnsi="Baloo 2"/>
                <w:b/>
                <w:bCs/>
                <w:color w:val="5B2E91"/>
                <w:sz w:val="22"/>
                <w:szCs w:val="22"/>
              </w:rPr>
              <w:t xml:space="preserve">Silver</w:t>
            </w:r>
          </w:p>
          <w:p>
            <w:pPr>
              <w:jc w:val="center"/>
            </w:pPr>
            <w:r>
              <w:rPr>
                <w:rFonts w:ascii="Nunito Sans" w:cs="Nunito Sans" w:eastAsia="Nunito Sans" w:hAnsi="Nunito Sans"/>
                <w:color w:val="6B5B7D"/>
                <w:sz w:val="18"/>
                <w:szCs w:val="18"/>
              </w:rPr>
              <w:t xml:space="preserve">Most popular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rFonts w:ascii="Baloo 2" w:cs="Baloo 2" w:eastAsia="Baloo 2" w:hAnsi="Baloo 2"/>
                <w:b/>
                <w:bCs/>
                <w:color w:val="5B2E91"/>
                <w:sz w:val="22"/>
                <w:szCs w:val="22"/>
              </w:rPr>
              <w:t xml:space="preserve">Gold</w:t>
            </w:r>
          </w:p>
          <w:p>
            <w:pPr>
              <w:jc w:val="center"/>
            </w:pPr>
            <w:r>
              <w:rPr>
                <w:rFonts w:ascii="Nunito Sans" w:cs="Nunito Sans" w:eastAsia="Nunito Sans" w:hAnsi="Nunito Sans"/>
                <w:color w:val="6B5B7D"/>
                <w:sz w:val="18"/>
                <w:szCs w:val="18"/>
              </w:rPr>
              <w:t xml:space="preserve">Complete protection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Unlimited Remote Support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Microsoft 365 Management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Proactive Monitoring &amp; Patching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Office 365 Backup &amp; Recovery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Email Protection Service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SentinelOne Endpoint Security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Huntress MDR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Web Hosting (Domain, DNS, VPS)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Code Two Email Signature Manager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IT Governance &amp; Roadmap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Strategic Quarterly Reviews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On-site Support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2D1B4E"/>
                <w:sz w:val="20"/>
                <w:szCs w:val="20"/>
              </w:rPr>
              <w:t xml:space="preserve">As needed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2D1B4E"/>
                <w:sz w:val="20"/>
                <w:szCs w:val="20"/>
              </w:rPr>
              <w:t xml:space="preserve">As needed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2D1B4E"/>
                <w:sz w:val="20"/>
                <w:szCs w:val="20"/>
              </w:rPr>
              <w:t xml:space="preserve">As needed</w:t>
            </w:r>
          </w:p>
        </w:tc>
      </w:tr>
      <w:tr>
        <w:tc>
          <w:tcPr>
            <w:tcW w:type="dxa" w:w="4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After-hours Critical Support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 w:val="false"/>
                <w:bCs w:val="false"/>
                <w:color w:val="6B5B7D"/>
                <w:sz w:val="20"/>
                <w:szCs w:val="20"/>
              </w:rPr>
              <w:t xml:space="preserve">—</w:t>
            </w:r>
          </w:p>
        </w:tc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Included</w:t>
            </w:r>
          </w:p>
        </w:tc>
      </w:tr>
    </w:tbl>
    <w:p>
      <w:pPr>
        <w:spacing w:before="120"/>
      </w:pPr>
      <w:r>
        <w:rPr>
          <w:rFonts w:ascii="Nunito Sans" w:cs="Nunito Sans" w:eastAsia="Nunito Sans" w:hAnsi="Nunito Sans"/>
          <w:i/>
          <w:iCs/>
          <w:color w:val="6B5B7D"/>
          <w:sz w:val="20"/>
          <w:szCs w:val="20"/>
        </w:rPr>
        <w:t xml:space="preserve">Need something tailored? Every plan can be customised to match your environment, compliance requirements and budget.</w:t>
      </w:r>
    </w:p>
    <w:p>
      <w:pPr>
        <w:pageBreakBefore/>
      </w:pPr>
      <w:r>
        <w:rPr>
          <w:sz w:val="1"/>
          <w:szCs w:val="1"/>
        </w:rPr>
        <w:t xml:space="preserve"/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Industry specialties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We support businesses in every sector, with dedicated practices for two where generic IT does not cut it.</w:t>
      </w:r>
    </w:p>
    <w:p>
      <w:pPr>
        <w:pStyle w:val="Heading2"/>
        <w:spacing w:after="100" w:before="200"/>
      </w:pPr>
      <w:r>
        <w:rPr>
          <w:rFonts w:ascii="Baloo 2" w:cs="Baloo 2" w:eastAsia="Baloo 2" w:hAnsi="Baloo 2"/>
          <w:b/>
          <w:bCs/>
          <w:color w:val="2D1B4E"/>
          <w:sz w:val="28"/>
          <w:szCs w:val="28"/>
        </w:rPr>
        <w:t xml:space="preserve">Mining &amp; Resources — Uptime is production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Site-to-shore connectivity, OT/SCADA segregation, ruggedised site networks, ROC support, FIFO onboarding and 24/7 monitoring for operations where downtime is measured in tonnes.</w:t>
      </w:r>
    </w:p>
    <w:p>
      <w:pPr>
        <w:pStyle w:val="Heading2"/>
        <w:spacing w:after="100" w:before="200"/>
      </w:pPr>
      <w:r>
        <w:rPr>
          <w:rFonts w:ascii="Baloo 2" w:cs="Baloo 2" w:eastAsia="Baloo 2" w:hAnsi="Baloo 2"/>
          <w:b/>
          <w:bCs/>
          <w:color w:val="2D1B4E"/>
          <w:sz w:val="28"/>
          <w:szCs w:val="28"/>
        </w:rPr>
        <w:t xml:space="preserve">Local Government &amp; Councils — Governance first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ICT governance frameworks, risk registers, security audits and Essential Eight uplift, records compliance, business continuity and free public Wi-Fi across libraries and community facilities.</w:t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How to get support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We keep support simple. Choose the channel that suits your issue and our team will triage it during business hours.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Call us: </w:t>
      </w:r>
      <w:hyperlink w:history="1" r:id="rIdxycx_dw0ul0vaeeyp-zw1">
        <w:r>
          <w:rPr>
            <w:rStyle w:val="Hyperlink"/>
            <w:b/>
            <w:bCs/>
            <w:color w:val="5B2E91"/>
            <w:sz w:val="22"/>
            <w:szCs w:val="22"/>
          </w:rPr>
          <w:t xml:space="preserve">1300 904 635</w:t>
        </w:r>
      </w:hyperlink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 — Best for urgent issues and outages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Email us: </w:t>
      </w:r>
      <w:hyperlink w:history="1" r:id="rIdat-3gqusqdndbgft_yblj">
        <w:r>
          <w:rPr>
            <w:rStyle w:val="Hyperlink"/>
            <w:b/>
            <w:bCs/>
            <w:color w:val="5B2E91"/>
            <w:sz w:val="22"/>
            <w:szCs w:val="22"/>
          </w:rPr>
          <w:t xml:space="preserve">support@uitg.com.au</w:t>
        </w:r>
      </w:hyperlink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 — Best for requests and non-urgent issues</w:t>
      </w:r>
    </w:p>
    <w:p>
      <w:pPr>
        <w:spacing w:after="140"/>
      </w:pPr>
      <w:r>
        <w:rPr>
          <w:rFonts w:ascii="Nunito Sans" w:cs="Nunito Sans" w:eastAsia="Nunito Sans" w:hAnsi="Nunito Sans"/>
          <w:b/>
          <w:bCs/>
          <w:color w:val="2D1B4E"/>
          <w:sz w:val="22"/>
          <w:szCs w:val="22"/>
        </w:rPr>
        <w:t xml:space="preserve">Support Portal: </w:t>
      </w:r>
      <w:hyperlink w:history="1" r:id="rIdmf8w1kkoiekhlndjysbef">
        <w:r>
          <w:rPr>
            <w:rStyle w:val="Hyperlink"/>
            <w:b/>
            <w:bCs/>
            <w:color w:val="5B2E91"/>
            <w:sz w:val="22"/>
            <w:szCs w:val="22"/>
          </w:rPr>
          <w:t xml:space="preserve">uitg.syncromsp.com</w:t>
        </w:r>
      </w:hyperlink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 — Track tickets and request help online</w:t>
      </w:r>
    </w:p>
    <w:p>
      <w:pPr>
        <w:pStyle w:val="Heading2"/>
        <w:spacing w:after="100" w:before="200"/>
      </w:pPr>
      <w:r>
        <w:rPr>
          <w:rFonts w:ascii="Baloo 2" w:cs="Baloo 2" w:eastAsia="Baloo 2" w:hAnsi="Baloo 2"/>
          <w:b/>
          <w:bCs/>
          <w:color w:val="2D1B4E"/>
          <w:sz w:val="28"/>
          <w:szCs w:val="28"/>
        </w:rPr>
        <w:t xml:space="preserve">Basic SLA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Clear response targets during Australian business hours. Resolution times depend on the complexity of the issue.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5600"/>
        <w:gridCol w:w="2400"/>
      </w:tblGrid>
      <w:tr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Priority</w:t>
            </w:r>
          </w:p>
        </w:tc>
        <w:tc>
          <w:tcPr>
            <w:tcW w:type="dxa" w:w="56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Examples</w:t>
            </w:r>
          </w:p>
        </w:tc>
        <w:tc>
          <w:tcPr>
            <w:tcW w:type="dxa" w:w="2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EDE6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Response</w:t>
            </w:r>
          </w:p>
        </w:tc>
      </w:tr>
      <w:tr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Critical</w:t>
            </w:r>
          </w:p>
        </w:tc>
        <w:tc>
          <w:tcPr>
            <w:tcW w:type="dxa" w:w="56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color w:val="2D1B4E"/>
                <w:sz w:val="20"/>
                <w:szCs w:val="20"/>
              </w:rPr>
              <w:t xml:space="preserve">Complete outage, server down, no email</w:t>
            </w:r>
          </w:p>
        </w:tc>
        <w:tc>
          <w:tcPr>
            <w:tcW w:type="dxa" w:w="2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15 minutes</w:t>
            </w:r>
          </w:p>
        </w:tc>
      </w:tr>
      <w:tr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High</w:t>
            </w:r>
          </w:p>
        </w:tc>
        <w:tc>
          <w:tcPr>
            <w:tcW w:type="dxa" w:w="56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color w:val="2D1B4E"/>
                <w:sz w:val="20"/>
                <w:szCs w:val="20"/>
              </w:rPr>
              <w:t xml:space="preserve">Single user unable to work, printer fleet down</w:t>
            </w:r>
          </w:p>
        </w:tc>
        <w:tc>
          <w:tcPr>
            <w:tcW w:type="dxa" w:w="2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1 hour</w:t>
            </w:r>
          </w:p>
        </w:tc>
      </w:tr>
      <w:tr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Standard</w:t>
            </w:r>
          </w:p>
        </w:tc>
        <w:tc>
          <w:tcPr>
            <w:tcW w:type="dxa" w:w="56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color w:val="2D1B4E"/>
                <w:sz w:val="20"/>
                <w:szCs w:val="20"/>
              </w:rPr>
              <w:t xml:space="preserve">New user setup, software install, how-to questions</w:t>
            </w:r>
          </w:p>
        </w:tc>
        <w:tc>
          <w:tcPr>
            <w:tcW w:type="dxa" w:w="2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4 hours</w:t>
            </w:r>
          </w:p>
        </w:tc>
      </w:tr>
      <w:tr>
        <w:tc>
          <w:tcPr>
            <w:tcW w:type="dxa" w:w="18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2D1B4E"/>
                <w:sz w:val="20"/>
                <w:szCs w:val="20"/>
              </w:rPr>
              <w:t xml:space="preserve">Low</w:t>
            </w:r>
          </w:p>
        </w:tc>
        <w:tc>
          <w:tcPr>
            <w:tcW w:type="dxa" w:w="56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color w:val="2D1B4E"/>
                <w:sz w:val="20"/>
                <w:szCs w:val="20"/>
              </w:rPr>
              <w:t xml:space="preserve">Non-urgent requests, quotes, planning</w:t>
            </w:r>
          </w:p>
        </w:tc>
        <w:tc>
          <w:tcPr>
            <w:tcW w:type="dxa" w:w="2400"/>
            <w:tcBorders>
              <w:top w:val="single" w:color="D4CCE0" w:sz="1"/>
              <w:left w:val="single" w:color="D4CCE0" w:sz="1"/>
              <w:bottom w:val="single" w:color="D4CCE0" w:sz="1"/>
              <w:right w:val="single" w:color="D4CCE0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Nunito Sans" w:cs="Nunito Sans" w:eastAsia="Nunito Sans" w:hAnsi="Nunito Sans"/>
                <w:b/>
                <w:bCs/>
                <w:color w:val="5B2E91"/>
                <w:sz w:val="20"/>
                <w:szCs w:val="20"/>
              </w:rPr>
              <w:t xml:space="preserve">Next business day</w:t>
            </w:r>
          </w:p>
        </w:tc>
      </w:tr>
    </w:tbl>
    <w:p>
      <w:pPr>
        <w:spacing w:before="120"/>
      </w:pPr>
      <w:r>
        <w:rPr>
          <w:rFonts w:ascii="Nunito Sans" w:cs="Nunito Sans" w:eastAsia="Nunito Sans" w:hAnsi="Nunito Sans"/>
          <w:i/>
          <w:iCs/>
          <w:color w:val="6B5B7D"/>
          <w:sz w:val="18"/>
          <w:szCs w:val="18"/>
        </w:rPr>
        <w:t xml:space="preserve">Exact SLA terms are documented in your Managed Services agreement. After-hours critical support is available on request.</w:t>
      </w:r>
    </w:p>
    <w:p>
      <w:pPr>
        <w:pStyle w:val="Heading1"/>
        <w:spacing w:after="120" w:before="240"/>
      </w:pPr>
      <w:r>
        <w:rPr>
          <w:rFonts w:ascii="Baloo 2" w:cs="Baloo 2" w:eastAsia="Baloo 2" w:hAnsi="Baloo 2"/>
          <w:b/>
          <w:bCs/>
          <w:color w:val="5B2E91"/>
          <w:sz w:val="36"/>
          <w:szCs w:val="36"/>
        </w:rPr>
        <w:t xml:space="preserve">Ready to stop managing IT alone?</w:t>
      </w:r>
    </w:p>
    <w:p>
      <w:pPr>
        <w:spacing w:after="120"/>
      </w:pPr>
      <w:r>
        <w:rPr>
          <w:rFonts w:ascii="Nunito Sans" w:cs="Nunito Sans" w:eastAsia="Nunito Sans" w:hAnsi="Nunito Sans"/>
          <w:b w:val="false"/>
          <w:bCs w:val="false"/>
          <w:color w:val="2D1B4E"/>
          <w:sz w:val="22"/>
          <w:szCs w:val="22"/>
        </w:rPr>
        <w:t xml:space="preserve">Book a free 30-minute review and we will show you exactly what Managed Services looks like for your business — no lock-in, no jargon.</w:t>
      </w:r>
    </w:p>
    <w:p>
      <w:pPr>
        <w:spacing w:after="80" w:before="120"/>
      </w:pPr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Call </w:t>
      </w:r>
      <w:hyperlink w:history="1" r:id="rId4zqhidszsgrbz9kvnw6vt">
        <w:r>
          <w:rPr>
            <w:rStyle w:val="Hyperlink"/>
            <w:b/>
            <w:bCs/>
            <w:sz w:val="22"/>
            <w:szCs w:val="22"/>
          </w:rPr>
          <w:t xml:space="preserve">1300 904 635</w:t>
        </w:r>
      </w:hyperlink>
      <w:r>
        <w:rPr>
          <w:rFonts w:ascii="Nunito Sans" w:cs="Nunito Sans" w:eastAsia="Nunito Sans" w:hAnsi="Nunito Sans"/>
          <w:color w:val="2D1B4E"/>
          <w:sz w:val="22"/>
          <w:szCs w:val="22"/>
        </w:rPr>
        <w:t xml:space="preserve"> or email </w:t>
      </w:r>
      <w:hyperlink w:history="1" r:id="rIdvo5gngczuw6gluvuqhcnu">
        <w:r>
          <w:rPr>
            <w:rStyle w:val="Hyperlink"/>
            <w:b/>
            <w:bCs/>
            <w:sz w:val="22"/>
            <w:szCs w:val="22"/>
          </w:rPr>
          <w:t xml:space="preserve">hello@uitg.com.au</w:t>
        </w:r>
      </w:hyperlink>
    </w:p>
    <w:p>
      <w:pPr>
        <w:spacing w:before="300"/>
        <w:jc w:val="center"/>
      </w:pPr>
      <w:r>
        <w:rPr>
          <w:rFonts w:ascii="Nunito Sans" w:cs="Nunito Sans" w:eastAsia="Nunito Sans" w:hAnsi="Nunito Sans"/>
          <w:color w:val="6B5B7D"/>
          <w:sz w:val="18"/>
          <w:szCs w:val="18"/>
        </w:rPr>
        <w:t xml:space="preserve">Suite 122, 8 Collingwood St, Osborne Park, WA, 6017</w:t>
      </w:r>
    </w:p>
    <w:p>
      <w:pPr>
        <w:jc w:val="center"/>
      </w:pPr>
      <w:r>
        <w:rPr>
          <w:rFonts w:ascii="Nunito Sans" w:cs="Nunito Sans" w:eastAsia="Nunito Sans" w:hAnsi="Nunito Sans"/>
          <w:color w:val="6B5B7D"/>
          <w:sz w:val="18"/>
          <w:szCs w:val="18"/>
        </w:rPr>
        <w:t xml:space="preserve">Suite 703, Level 7, The Trust Building, 155 King St, Sydney, NSW, 2000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unito Sans" w:cs="Nunito Sans" w:eastAsia="Nunito Sans" w:hAnsi="Nunito Sa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Baloo 2" w:cs="Baloo 2" w:eastAsia="Baloo 2" w:hAnsi="Baloo 2"/>
      <w:b/>
      <w:bCs/>
      <w:color w:val="5B2E91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Baloo 2" w:cs="Baloo 2" w:eastAsia="Baloo 2" w:hAnsi="Baloo 2"/>
      <w:b/>
      <w:bCs/>
      <w:color w:val="2D1B4E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-moczlxpb35jxyjpmmdk" Type="http://schemas.openxmlformats.org/officeDocument/2006/relationships/hyperlink" Target="tel:1300904635" TargetMode="External"/><Relationship Id="rIdakzgtatfwyz8doicnocgl" Type="http://schemas.openxmlformats.org/officeDocument/2006/relationships/hyperlink" Target="mailto:hello@uitg.com.au" TargetMode="External"/><Relationship Id="rIdxycx_dw0ul0vaeeyp-zw1" Type="http://schemas.openxmlformats.org/officeDocument/2006/relationships/hyperlink" Target="tel:1300904635" TargetMode="External"/><Relationship Id="rIdat-3gqusqdndbgft_yblj" Type="http://schemas.openxmlformats.org/officeDocument/2006/relationships/hyperlink" Target="mailto:support@uitg.com.au" TargetMode="External"/><Relationship Id="rIdmf8w1kkoiekhlndjysbef" Type="http://schemas.openxmlformats.org/officeDocument/2006/relationships/hyperlink" Target="https://uitg.syncromsp.com" TargetMode="External"/><Relationship Id="rId4zqhidszsgrbz9kvnw6vt" Type="http://schemas.openxmlformats.org/officeDocument/2006/relationships/hyperlink" Target="tel:1300904635" TargetMode="External"/><Relationship Id="rIdvo5gngczuw6gluvuqhcnu" Type="http://schemas.openxmlformats.org/officeDocument/2006/relationships/hyperlink" Target="mailto:hello@uitg.com.au" TargetMode="External"/><Relationship Id="rId7" Type="http://schemas.openxmlformats.org/officeDocument/2006/relationships/image" Target="media/fbc4ab0a102c1e9955e9615c5a177d8dcbb3759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2026-08-27T10:46:48.716Z</dcterms:created>
  <dcterms:modified xsi:type="dcterms:W3CDTF">2026-08-27T10:46:48.716Z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